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CIFRA - HINO JUBILEU DOS 300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D                                                 G                                 Em       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Graças damos ao Deus Crucificado. Que para o calvário atraiu Paulo da Cruz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                      D             D7             G                                    D                       A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Fez de Castelazzo o coração do mundo. Plantou um carisma que aos povos leva luz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                  D              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Os passionistas há trazentos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                                   D                    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Mostram que o remédio contra o mal está na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             D              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Os passionistas há trazentos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                                   D                        A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Mostram que o remédio contra o mal está na cruz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Contemplando a Paixão do Senhor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Adentremos hoje na chaga do teu lado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Pois é lá que o santo e mestre da oração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Escreveu que Deus transforma o amante no amado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Grande mestre que amava a solidão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Por ela mergulhava na fornalha de amor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Dá-nos compreender o que na cruz está escrito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São letras de dor, mas por dentro de amor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Cristo nos convida a sermos servos seus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Modelo de pobreza como foi Paulo da Cruz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Porque Deus escolhe o fraco e não o forte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 fronte do pobre vejo o nome de Jesus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Pai da penitência na escola do amor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Fazei ecoar hoje no mundo sua voz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Eu queria que nos abrasássemos em fogo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Até incendiarmos quem passasse entre nós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Ao olharmos para outro lado da cruz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Vemos lá o pobre, o sofredor, o moribundo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Dá-nos santo pai o dom de sermos como tu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Profetas da paixão e ressurreição no mundo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2019-10-09T18:34:00Z</dcterms:created>
  <dc:creator>Gilberto Felipe Corrêa dos Santos</dc:creator>
</cp:coreProperties>
</file>